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55F" w:rsidRDefault="00D8155F" w:rsidP="00686A9A">
      <w:pPr>
        <w:spacing w:after="0"/>
        <w:rPr>
          <w:rFonts w:eastAsia="Times New Roman" w:cs="Times New Roman"/>
          <w:spacing w:val="1"/>
          <w:szCs w:val="24"/>
        </w:rPr>
      </w:pPr>
    </w:p>
    <w:p w:rsidR="00D8155F" w:rsidRDefault="00D8155F" w:rsidP="00686A9A">
      <w:pPr>
        <w:spacing w:after="0"/>
        <w:rPr>
          <w:rFonts w:eastAsia="Times New Roman" w:cs="Times New Roman"/>
          <w:spacing w:val="1"/>
          <w:szCs w:val="24"/>
        </w:rPr>
      </w:pPr>
    </w:p>
    <w:p w:rsidR="00D8155F" w:rsidRDefault="00D8155F" w:rsidP="00686A9A">
      <w:pPr>
        <w:spacing w:after="0"/>
        <w:jc w:val="center"/>
        <w:rPr>
          <w:rFonts w:eastAsia="Times New Roman" w:cs="Times New Roman"/>
          <w:spacing w:val="1"/>
          <w:szCs w:val="24"/>
        </w:rPr>
      </w:pPr>
      <w:r>
        <w:rPr>
          <w:rFonts w:eastAsia="Times New Roman" w:cs="Times New Roman"/>
          <w:spacing w:val="1"/>
          <w:szCs w:val="24"/>
        </w:rPr>
        <w:t>PRESIDENTIAL ACTIONS THAT DEFINED THEM</w:t>
      </w:r>
    </w:p>
    <w:p w:rsidR="00686A9A" w:rsidRDefault="00686A9A" w:rsidP="00686A9A">
      <w:pPr>
        <w:spacing w:after="0"/>
        <w:jc w:val="center"/>
        <w:rPr>
          <w:rFonts w:eastAsia="Times New Roman" w:cs="Times New Roman"/>
          <w:spacing w:val="1"/>
          <w:szCs w:val="24"/>
        </w:rPr>
      </w:pPr>
    </w:p>
    <w:p w:rsidR="00686A9A" w:rsidRDefault="00686A9A" w:rsidP="00686A9A">
      <w:pPr>
        <w:spacing w:after="0"/>
        <w:jc w:val="center"/>
        <w:rPr>
          <w:rFonts w:eastAsia="Times New Roman" w:cs="Times New Roman"/>
          <w:spacing w:val="1"/>
          <w:szCs w:val="24"/>
        </w:rPr>
      </w:pPr>
    </w:p>
    <w:p w:rsidR="00686A9A" w:rsidRDefault="00686A9A" w:rsidP="00686A9A">
      <w:pPr>
        <w:spacing w:after="0"/>
        <w:jc w:val="center"/>
        <w:rPr>
          <w:rFonts w:eastAsia="Times New Roman" w:cs="Times New Roman"/>
          <w:spacing w:val="1"/>
          <w:szCs w:val="24"/>
        </w:rPr>
      </w:pPr>
    </w:p>
    <w:p w:rsidR="00686A9A" w:rsidRDefault="00686A9A" w:rsidP="00686A9A">
      <w:pPr>
        <w:spacing w:after="0"/>
        <w:jc w:val="center"/>
        <w:rPr>
          <w:rFonts w:eastAsia="Times New Roman" w:cs="Times New Roman"/>
          <w:spacing w:val="1"/>
          <w:szCs w:val="24"/>
        </w:rPr>
      </w:pPr>
    </w:p>
    <w:p w:rsidR="00D8155F" w:rsidRDefault="00D8155F" w:rsidP="00686A9A">
      <w:pPr>
        <w:spacing w:after="0"/>
        <w:jc w:val="center"/>
        <w:rPr>
          <w:rFonts w:eastAsia="Times New Roman" w:cs="Times New Roman"/>
          <w:spacing w:val="1"/>
          <w:szCs w:val="24"/>
        </w:rPr>
      </w:pPr>
      <w:r>
        <w:rPr>
          <w:rFonts w:eastAsia="Times New Roman" w:cs="Times New Roman"/>
          <w:spacing w:val="1"/>
          <w:szCs w:val="24"/>
        </w:rPr>
        <w:t>Name</w:t>
      </w:r>
    </w:p>
    <w:p w:rsidR="00D8155F" w:rsidRDefault="00D8155F" w:rsidP="00686A9A">
      <w:pPr>
        <w:spacing w:after="0"/>
        <w:jc w:val="center"/>
        <w:rPr>
          <w:rFonts w:eastAsia="Times New Roman" w:cs="Times New Roman"/>
          <w:spacing w:val="1"/>
          <w:szCs w:val="24"/>
        </w:rPr>
      </w:pPr>
      <w:r>
        <w:rPr>
          <w:rFonts w:eastAsia="Times New Roman" w:cs="Times New Roman"/>
          <w:spacing w:val="1"/>
          <w:szCs w:val="24"/>
        </w:rPr>
        <w:t xml:space="preserve">Course </w:t>
      </w:r>
    </w:p>
    <w:p w:rsidR="00D8155F" w:rsidRDefault="00D8155F" w:rsidP="00686A9A">
      <w:pPr>
        <w:spacing w:after="0"/>
        <w:jc w:val="center"/>
        <w:rPr>
          <w:rFonts w:eastAsia="Times New Roman" w:cs="Times New Roman"/>
          <w:spacing w:val="1"/>
          <w:szCs w:val="24"/>
        </w:rPr>
      </w:pPr>
      <w:r>
        <w:rPr>
          <w:rFonts w:eastAsia="Times New Roman" w:cs="Times New Roman"/>
          <w:spacing w:val="1"/>
          <w:szCs w:val="24"/>
        </w:rPr>
        <w:t xml:space="preserve">Date </w:t>
      </w:r>
      <w:r>
        <w:rPr>
          <w:rFonts w:eastAsia="Times New Roman" w:cs="Times New Roman"/>
          <w:spacing w:val="1"/>
          <w:szCs w:val="24"/>
        </w:rPr>
        <w:br w:type="page"/>
      </w:r>
    </w:p>
    <w:p w:rsidR="00542B83" w:rsidRPr="00542B83" w:rsidRDefault="00542B83" w:rsidP="00686A9A">
      <w:pPr>
        <w:spacing w:after="0"/>
        <w:jc w:val="center"/>
        <w:rPr>
          <w:rFonts w:eastAsia="Times New Roman" w:cs="Times New Roman"/>
          <w:b/>
          <w:spacing w:val="1"/>
          <w:szCs w:val="24"/>
        </w:rPr>
      </w:pPr>
      <w:r w:rsidRPr="00542B83">
        <w:rPr>
          <w:rFonts w:eastAsia="Times New Roman" w:cs="Times New Roman"/>
          <w:b/>
          <w:spacing w:val="1"/>
          <w:szCs w:val="24"/>
        </w:rPr>
        <w:lastRenderedPageBreak/>
        <w:t>Introduction</w:t>
      </w:r>
    </w:p>
    <w:p w:rsidR="00D8155F" w:rsidRPr="00D8155F" w:rsidRDefault="00D8155F" w:rsidP="00686A9A">
      <w:pPr>
        <w:spacing w:after="0"/>
        <w:ind w:firstLine="720"/>
        <w:rPr>
          <w:rFonts w:eastAsia="Times New Roman" w:cs="Times New Roman"/>
          <w:spacing w:val="1"/>
          <w:szCs w:val="24"/>
        </w:rPr>
      </w:pPr>
      <w:bookmarkStart w:id="0" w:name="_GoBack"/>
      <w:r w:rsidRPr="00D8155F">
        <w:rPr>
          <w:rFonts w:eastAsia="Times New Roman" w:cs="Times New Roman"/>
          <w:spacing w:val="1"/>
          <w:szCs w:val="24"/>
        </w:rPr>
        <w:t>A president is the holder of the highest office in the land, and as such, a lot of attention depends on their activities and</w:t>
      </w:r>
      <w:r w:rsidR="00C85EDA">
        <w:rPr>
          <w:rFonts w:eastAsia="Times New Roman" w:cs="Times New Roman"/>
          <w:spacing w:val="1"/>
          <w:szCs w:val="24"/>
        </w:rPr>
        <w:t xml:space="preserve"> their</w:t>
      </w:r>
      <w:r w:rsidRPr="00D8155F">
        <w:rPr>
          <w:rFonts w:eastAsia="Times New Roman" w:cs="Times New Roman"/>
          <w:spacing w:val="1"/>
          <w:szCs w:val="24"/>
        </w:rPr>
        <w:t xml:space="preserve"> preferences. The notice addressed can either span to be a positive impact or a negative one that ends up derailing one's tenure in office. For the remarkable mandates of the 45 candidates to occupy that role, every bit of attention accorded to them has had political repercussions.</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The attention in some detail can be coined by the candidate to attain favor in terms of prominence, and in other scenarios very useful in advocating for what the presidential agenda is. High poles were an instrumental figure in the running for president in the coming elections and favored the candidate.</w:t>
      </w:r>
      <w:r w:rsidR="00542B83">
        <w:rPr>
          <w:rStyle w:val="FootnoteReference"/>
          <w:rFonts w:eastAsia="Times New Roman" w:cs="Times New Roman"/>
          <w:spacing w:val="1"/>
          <w:szCs w:val="24"/>
        </w:rPr>
        <w:footnoteReference w:id="1"/>
      </w:r>
      <w:r w:rsidRPr="00D8155F">
        <w:rPr>
          <w:rFonts w:eastAsia="Times New Roman" w:cs="Times New Roman"/>
          <w:spacing w:val="1"/>
          <w:szCs w:val="24"/>
        </w:rPr>
        <w:t xml:space="preserve"> Any negative news situation with which the candidate's links directly to would have detrimental effects on his poles. As such, it was crucial for the candidates to keep themselves up-to-date with the latest ongoing activities that would affect their ratings, and in such situations be concise in their response to remedy their poll ratings. </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The presidential agenda, to be realized depended on a majority of the party supporters within the Congress.</w:t>
      </w:r>
      <w:r w:rsidR="00C85EDA">
        <w:rPr>
          <w:rStyle w:val="FootnoteReference"/>
          <w:rFonts w:eastAsia="Times New Roman" w:cs="Times New Roman"/>
          <w:spacing w:val="1"/>
          <w:szCs w:val="24"/>
        </w:rPr>
        <w:footnoteReference w:id="2"/>
      </w:r>
      <w:r w:rsidRPr="00D8155F">
        <w:rPr>
          <w:rFonts w:eastAsia="Times New Roman" w:cs="Times New Roman"/>
          <w:spacing w:val="1"/>
          <w:szCs w:val="24"/>
        </w:rPr>
        <w:t xml:space="preserve"> Sway, however, was held by the members with the highest poll ratings and if the president had higher ratings than the sitting Congress, the bills would not be problematic. But the agenda doesn't have to rely on laws. In some situations, the candidate can endorse a program or an activity, but because of the popular favorable polls he has, the program can grow into a national emblem. In any of the three cases, what the presidents sought to do with their popularity, in most situations, became what defined them and their tenure. </w:t>
      </w:r>
    </w:p>
    <w:p w:rsidR="00D8155F" w:rsidRPr="00542B83" w:rsidRDefault="00D8155F" w:rsidP="00686A9A">
      <w:pPr>
        <w:spacing w:after="0"/>
        <w:jc w:val="center"/>
        <w:rPr>
          <w:rFonts w:eastAsia="Times New Roman" w:cs="Times New Roman"/>
          <w:b/>
          <w:spacing w:val="1"/>
          <w:szCs w:val="24"/>
        </w:rPr>
      </w:pPr>
      <w:r w:rsidRPr="00542B83">
        <w:rPr>
          <w:rFonts w:eastAsia="Times New Roman" w:cs="Times New Roman"/>
          <w:b/>
          <w:spacing w:val="1"/>
          <w:szCs w:val="24"/>
        </w:rPr>
        <w:t>Ronald Reagan and incarceration</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lastRenderedPageBreak/>
        <w:t>Former President Ronald W. Reagan focused heavily on the privatization of gover</w:t>
      </w:r>
      <w:bookmarkEnd w:id="0"/>
      <w:r w:rsidRPr="00D8155F">
        <w:rPr>
          <w:rFonts w:eastAsia="Times New Roman" w:cs="Times New Roman"/>
          <w:spacing w:val="1"/>
          <w:szCs w:val="24"/>
        </w:rPr>
        <w:t>nment programs and services. He created an executive order in 1987 devoted towards the identification of government programs that are not proper the responsibility of the federal government and would otherwise be performed more efficiently by the private sector, but his target was the penal system. His attempts to privatize the penal system begun with the war on drugs initiative; he generated the perception of drugs as a crime issue instead of a health issue.</w:t>
      </w:r>
      <w:r w:rsidR="00C85EDA">
        <w:rPr>
          <w:rStyle w:val="FootnoteReference"/>
          <w:rFonts w:eastAsia="Times New Roman" w:cs="Times New Roman"/>
          <w:spacing w:val="1"/>
          <w:szCs w:val="24"/>
        </w:rPr>
        <w:footnoteReference w:id="3"/>
      </w:r>
      <w:r w:rsidRPr="00D8155F">
        <w:rPr>
          <w:rFonts w:eastAsia="Times New Roman" w:cs="Times New Roman"/>
          <w:spacing w:val="1"/>
          <w:szCs w:val="24"/>
        </w:rPr>
        <w:t xml:space="preserve"> His orchestration intended to highlight the war on drugs as an initiative to protect society from drug abuse, but the statistics indicate that drug pandemic began to rise. Through his calculated construction of the War on Drugs, Ronald Reagan initiated a wave of mass incarcerations that intentionally overloaded the existing penal system to increase the private prison industry. </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Reagan then passed harsher criminal sentencing reforms that caused the prison industry to grow exponentially.</w:t>
      </w:r>
      <w:r w:rsidR="00C85EDA">
        <w:rPr>
          <w:rStyle w:val="FootnoteReference"/>
          <w:rFonts w:eastAsia="Times New Roman" w:cs="Times New Roman"/>
          <w:spacing w:val="1"/>
          <w:szCs w:val="24"/>
        </w:rPr>
        <w:footnoteReference w:id="4"/>
      </w:r>
      <w:r w:rsidRPr="00D8155F">
        <w:rPr>
          <w:rFonts w:eastAsia="Times New Roman" w:cs="Times New Roman"/>
          <w:spacing w:val="1"/>
          <w:szCs w:val="24"/>
        </w:rPr>
        <w:t xml:space="preserve"> The Sentencing Reform Act of 1984 eliminated probation and parole for certain offenses and mandated longer sentences for others, and the Anti-Drug Abuse Acts in 1986 and 1988 increased federal funding for narcotics control, developed harsher penalties for possession of small amounts of narcotics and established mandatory minimum sentences for various criminal offenses. Department of Justice statistics indicates that these reforms caused the national prisoner population to grow from 740,000 to 1.6 million between 1985 and 1995. Faced with financial strains and rising incarceration rates,</w:t>
      </w:r>
      <w:r w:rsidR="00C85EDA">
        <w:rPr>
          <w:rStyle w:val="FootnoteReference"/>
          <w:rFonts w:eastAsia="Times New Roman" w:cs="Times New Roman"/>
          <w:spacing w:val="1"/>
          <w:szCs w:val="24"/>
        </w:rPr>
        <w:footnoteReference w:id="5"/>
      </w:r>
      <w:r w:rsidRPr="00D8155F">
        <w:rPr>
          <w:rFonts w:eastAsia="Times New Roman" w:cs="Times New Roman"/>
          <w:spacing w:val="1"/>
          <w:szCs w:val="24"/>
        </w:rPr>
        <w:t xml:space="preserve"> Reagan offered States with two choices begin construction of new prisons or turn over responsibilities of the penal system to the private companies. The former was impractical; new high-capacity minimum security facility </w:t>
      </w:r>
      <w:r w:rsidRPr="00D8155F">
        <w:rPr>
          <w:rFonts w:eastAsia="Times New Roman" w:cs="Times New Roman"/>
          <w:spacing w:val="1"/>
          <w:szCs w:val="24"/>
        </w:rPr>
        <w:lastRenderedPageBreak/>
        <w:t>cost an upwards of $140 million, while the average cost of running the same sized facility was $7million per year. These budgets left many states with no choice but to seek the help of private prison companies, who promised to construct and manage prisons more cheaply than the state government could. In exchange for their services, states paid these private companies a set fee for each inmate per day in jail</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Reagan developed a mutually beneficial relationship with lobbyist groups hoping to create laws that would continue the era of mass incarcerations.</w:t>
      </w:r>
      <w:r w:rsidR="00C85EDA">
        <w:rPr>
          <w:rStyle w:val="FootnoteReference"/>
          <w:rFonts w:eastAsia="Times New Roman" w:cs="Times New Roman"/>
          <w:spacing w:val="1"/>
          <w:szCs w:val="24"/>
        </w:rPr>
        <w:footnoteReference w:id="6"/>
      </w:r>
      <w:r w:rsidRPr="00D8155F">
        <w:rPr>
          <w:rFonts w:eastAsia="Times New Roman" w:cs="Times New Roman"/>
          <w:spacing w:val="1"/>
          <w:szCs w:val="24"/>
        </w:rPr>
        <w:t xml:space="preserve"> He joined forces with The American Legislative Exchange Council (ALEC) to develop model legislation and propose bills upon the needs of the latter. Alec developed a Criminal Justice Task Force to introduce laws that increased prison populations and company profits. Their direct relationship provided the private prison companies with an unfair advantage that ensured the growth and continuation of their industry.</w:t>
      </w:r>
    </w:p>
    <w:p w:rsidR="00D8155F" w:rsidRPr="00542B83" w:rsidRDefault="00D8155F" w:rsidP="00686A9A">
      <w:pPr>
        <w:spacing w:after="0"/>
        <w:jc w:val="center"/>
        <w:rPr>
          <w:rFonts w:eastAsia="Times New Roman" w:cs="Times New Roman"/>
          <w:b/>
          <w:spacing w:val="1"/>
          <w:szCs w:val="24"/>
        </w:rPr>
      </w:pPr>
      <w:r w:rsidRPr="00542B83">
        <w:rPr>
          <w:rFonts w:eastAsia="Times New Roman" w:cs="Times New Roman"/>
          <w:b/>
          <w:spacing w:val="1"/>
          <w:szCs w:val="24"/>
        </w:rPr>
        <w:t>Bill Clinton and Hip-hop</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Bill Clinton was known as the "rock ‘n' roll president." He was the first from a generation that grew up on the music to reach the highest office in the nation. During his reception at the Clinton Presidential Center in Little Rock former President Clinton recalled how music shaped him as a kid growing up in Hot Springs, "We didn't get a TV until I was 10, and I mostly, even after that, did my homework to the radio, and it was always a baseball game or rock ‘n' roll.</w:t>
      </w:r>
      <w:r w:rsidR="00F565D5">
        <w:rPr>
          <w:rStyle w:val="FootnoteReference"/>
          <w:rFonts w:eastAsia="Times New Roman" w:cs="Times New Roman"/>
          <w:spacing w:val="1"/>
          <w:szCs w:val="24"/>
        </w:rPr>
        <w:footnoteReference w:id="7"/>
      </w:r>
      <w:r w:rsidRPr="00D8155F">
        <w:rPr>
          <w:rFonts w:eastAsia="Times New Roman" w:cs="Times New Roman"/>
          <w:spacing w:val="1"/>
          <w:szCs w:val="24"/>
        </w:rPr>
        <w:t xml:space="preserve"> I was shameless when I became president in using the office to expose myself to musicians I had always loved. You know, somebody asked me, one of the greatest things about being president, nearly anybody will come to play for you," he told the crowd.</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lastRenderedPageBreak/>
        <w:t>Clinton was, as a 1997 documentary described him, a "Rock and Roll president." In his 1992 campaign for president, he famously donned sunglasses to play the saxophone on the Arsenio Hall Show, "one of the defining moments of that Presidential campaign." The music industry presented him with the opportunity to garner deep-pocketed supporters in the entertainment business and the indispensable black vote.</w:t>
      </w:r>
      <w:r w:rsidR="00C85EDA">
        <w:rPr>
          <w:rStyle w:val="FootnoteReference"/>
          <w:rFonts w:eastAsia="Times New Roman" w:cs="Times New Roman"/>
          <w:spacing w:val="1"/>
          <w:szCs w:val="24"/>
        </w:rPr>
        <w:footnoteReference w:id="8"/>
      </w:r>
      <w:r w:rsidRPr="00D8155F">
        <w:rPr>
          <w:rFonts w:eastAsia="Times New Roman" w:cs="Times New Roman"/>
          <w:spacing w:val="1"/>
          <w:szCs w:val="24"/>
        </w:rPr>
        <w:t xml:space="preserve">  The narration, which frames his life almost entirely by the music he's listened to, tends to be a little ponderous. </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As rap became more widespread, it appealed to white suburban teenagers to absorb the ghetto experience without being exposed to any of its physical dangers. The lyrics, however, grew to be more obscene which concerned parents and politicians as the 1992 presidential elections approached. Republicans sought this as a chance to turn the Democrat's relationship with the music industry against them. Clinton was at an impasse but a rap singer and activist, Sister Souljah, presented him with a chance to redeem himself.</w:t>
      </w:r>
      <w:r w:rsidR="00445D9D">
        <w:rPr>
          <w:rStyle w:val="FootnoteReference"/>
          <w:rFonts w:eastAsia="Times New Roman" w:cs="Times New Roman"/>
          <w:spacing w:val="1"/>
          <w:szCs w:val="24"/>
        </w:rPr>
        <w:footnoteReference w:id="9"/>
      </w:r>
      <w:r w:rsidRPr="00D8155F">
        <w:rPr>
          <w:rFonts w:eastAsia="Times New Roman" w:cs="Times New Roman"/>
          <w:spacing w:val="1"/>
          <w:szCs w:val="24"/>
        </w:rPr>
        <w:t xml:space="preserve"> The rapper condemned violence on black by saying, "if black people kill black people every day, why not have a week and kill white people?" Clinton criticized her words and any hatred they brewed openly, and his remarks shared the concerns of the white working class; Nixon's silent majority.</w:t>
      </w:r>
    </w:p>
    <w:p w:rsidR="00D8155F" w:rsidRPr="00542B83" w:rsidRDefault="00D8155F" w:rsidP="00686A9A">
      <w:pPr>
        <w:spacing w:after="0"/>
        <w:jc w:val="center"/>
        <w:rPr>
          <w:rFonts w:eastAsia="Times New Roman" w:cs="Times New Roman"/>
          <w:b/>
          <w:spacing w:val="1"/>
          <w:szCs w:val="24"/>
        </w:rPr>
      </w:pPr>
      <w:r w:rsidRPr="00542B83">
        <w:rPr>
          <w:rFonts w:eastAsia="Times New Roman" w:cs="Times New Roman"/>
          <w:b/>
          <w:spacing w:val="1"/>
          <w:szCs w:val="24"/>
        </w:rPr>
        <w:t>Barrack Obama and the Act of Sankofa</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 xml:space="preserve">The mission of the Sankofa Global project is to increase the number of women and people of color in science, technology, engineering, art, and mathematics. Founded by Tracy L. Gray, the Sankofa Project designs programs that create and direct diversity and multiculturalism into prevalence and peak excellence in S.T.E.A.M. fields. The Sankofa Scholar Program was designed to improve student retention at GPTC.  This program was named Sankofa, which is a </w:t>
      </w:r>
      <w:r w:rsidRPr="00D8155F">
        <w:rPr>
          <w:rFonts w:eastAsia="Times New Roman" w:cs="Times New Roman"/>
          <w:spacing w:val="1"/>
          <w:szCs w:val="24"/>
        </w:rPr>
        <w:lastRenderedPageBreak/>
        <w:t>symbol created by the Akan people who lived in the West African countries.  Sankofa is an Akan term that m</w:t>
      </w:r>
      <w:r w:rsidR="00F565D5">
        <w:rPr>
          <w:rFonts w:eastAsia="Times New Roman" w:cs="Times New Roman"/>
          <w:spacing w:val="1"/>
          <w:szCs w:val="24"/>
        </w:rPr>
        <w:t>eans, "To go back and get it."</w:t>
      </w:r>
      <w:r w:rsidR="00F565D5">
        <w:rPr>
          <w:rStyle w:val="FootnoteReference"/>
          <w:rFonts w:eastAsia="Times New Roman" w:cs="Times New Roman"/>
          <w:spacing w:val="1"/>
          <w:szCs w:val="24"/>
        </w:rPr>
        <w:footnoteReference w:id="10"/>
      </w:r>
      <w:r w:rsidR="00F565D5">
        <w:rPr>
          <w:rFonts w:eastAsia="Times New Roman" w:cs="Times New Roman"/>
          <w:spacing w:val="1"/>
          <w:szCs w:val="24"/>
        </w:rPr>
        <w:t xml:space="preserve"> </w:t>
      </w:r>
      <w:r w:rsidRPr="00D8155F">
        <w:rPr>
          <w:rFonts w:eastAsia="Times New Roman" w:cs="Times New Roman"/>
          <w:spacing w:val="1"/>
          <w:szCs w:val="24"/>
        </w:rPr>
        <w:t>The Akan believe that the past illuminates the present and that the search for knowledge is a life-long process.</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This program incorporates Individual Learning Plans (ILP) for the students, an intervention system, and holistic counseling to improve the retention rate, success rate, and graduation rate of the students in this program.</w:t>
      </w:r>
      <w:r w:rsidR="00445D9D">
        <w:rPr>
          <w:rStyle w:val="FootnoteReference"/>
          <w:rFonts w:eastAsia="Times New Roman" w:cs="Times New Roman"/>
          <w:spacing w:val="1"/>
          <w:szCs w:val="24"/>
        </w:rPr>
        <w:footnoteReference w:id="11"/>
      </w:r>
      <w:r w:rsidRPr="00D8155F">
        <w:rPr>
          <w:rFonts w:eastAsia="Times New Roman" w:cs="Times New Roman"/>
          <w:spacing w:val="1"/>
          <w:szCs w:val="24"/>
        </w:rPr>
        <w:t xml:space="preserve">  It will also include a comprehensive orientation workshop for new incoming students enrolling for the fall semesters. The Project shares a common interest in making positive impacts in individual lives, embracing diversity, building relationships, strengthening our communities and enhancing the quality of life. The Sankofa Project provides access to education, career, and global opportunities in S.T.E.A.M. fields through personal instructional plans, interactive workshops, educator professional development, and education conferences.</w:t>
      </w:r>
      <w:r w:rsidR="00445D9D">
        <w:rPr>
          <w:rStyle w:val="FootnoteReference"/>
          <w:rFonts w:eastAsia="Times New Roman" w:cs="Times New Roman"/>
          <w:spacing w:val="1"/>
          <w:szCs w:val="24"/>
        </w:rPr>
        <w:footnoteReference w:id="12"/>
      </w:r>
      <w:r w:rsidRPr="00D8155F">
        <w:rPr>
          <w:rFonts w:eastAsia="Times New Roman" w:cs="Times New Roman"/>
          <w:spacing w:val="1"/>
          <w:szCs w:val="24"/>
        </w:rPr>
        <w:t xml:space="preserve"> The principal mission of the project is to inform, involve and inspire like-minded individuals who desire to work in an environment that embraces diversity, individuality, and creativity. </w:t>
      </w:r>
    </w:p>
    <w:p w:rsidR="00D8155F" w:rsidRPr="00D8155F"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 xml:space="preserve">On October 3, 2016, Barrack Obama, who was president at that time, demonstrated his support for this initiative by hosting the first White House South by South Lawn (SXSL) Festival of Ideas, Art and Action. The founder of the Sankofa Global Project was invited to attend. SXSL involved bringing together change makers, activists, and artists who came together to share ideas on how they were changing their communities. The Sankofa Global Project joined the Council on Women and Girls and the My Brother's Keeper Alliance at </w:t>
      </w:r>
      <w:r w:rsidRPr="00D8155F">
        <w:rPr>
          <w:rFonts w:eastAsia="Times New Roman" w:cs="Times New Roman"/>
          <w:spacing w:val="1"/>
          <w:szCs w:val="24"/>
        </w:rPr>
        <w:lastRenderedPageBreak/>
        <w:t>President Obama's 2016 "I Have a Dream Workshop on Inclusive Youth Entrepreneurship." The White House recognized the Sankofa Global Project's programs in the official release of the White House Fact Sheet as an organization committed to expanding STEM learning for students nationwide. The Sankofa Global Project continues to serve as integration stakeholder with the My Brother's Keeper Alliance, which is now an initiative of the Obama Foundation.</w:t>
      </w:r>
    </w:p>
    <w:p w:rsidR="00D8155F" w:rsidRPr="00542B83" w:rsidRDefault="00D8155F" w:rsidP="00686A9A">
      <w:pPr>
        <w:spacing w:after="0"/>
        <w:jc w:val="center"/>
        <w:rPr>
          <w:rFonts w:eastAsia="Times New Roman" w:cs="Times New Roman"/>
          <w:b/>
          <w:spacing w:val="1"/>
          <w:szCs w:val="24"/>
        </w:rPr>
      </w:pPr>
      <w:r w:rsidRPr="00542B83">
        <w:rPr>
          <w:rFonts w:eastAsia="Times New Roman" w:cs="Times New Roman"/>
          <w:b/>
          <w:spacing w:val="1"/>
          <w:szCs w:val="24"/>
        </w:rPr>
        <w:t>Conclusion</w:t>
      </w:r>
    </w:p>
    <w:p w:rsidR="00542B83" w:rsidRDefault="00D8155F" w:rsidP="00686A9A">
      <w:pPr>
        <w:spacing w:after="0"/>
        <w:ind w:firstLine="720"/>
        <w:rPr>
          <w:rFonts w:eastAsia="Times New Roman" w:cs="Times New Roman"/>
          <w:spacing w:val="1"/>
          <w:szCs w:val="24"/>
        </w:rPr>
      </w:pPr>
      <w:r w:rsidRPr="00D8155F">
        <w:rPr>
          <w:rFonts w:eastAsia="Times New Roman" w:cs="Times New Roman"/>
          <w:spacing w:val="1"/>
          <w:szCs w:val="24"/>
        </w:rPr>
        <w:t>Ronald Reagan, Bill Clinton, and Barrack Obama endorse progra</w:t>
      </w:r>
      <w:r w:rsidR="00F565D5">
        <w:rPr>
          <w:rFonts w:eastAsia="Times New Roman" w:cs="Times New Roman"/>
          <w:spacing w:val="1"/>
          <w:szCs w:val="24"/>
        </w:rPr>
        <w:t xml:space="preserve">ms that have become the emblems </w:t>
      </w:r>
      <w:r w:rsidRPr="00D8155F">
        <w:rPr>
          <w:rFonts w:eastAsia="Times New Roman" w:cs="Times New Roman"/>
          <w:spacing w:val="1"/>
          <w:szCs w:val="24"/>
        </w:rPr>
        <w:t xml:space="preserve">that </w:t>
      </w:r>
      <w:r w:rsidR="00F565D5">
        <w:rPr>
          <w:rFonts w:eastAsia="Times New Roman" w:cs="Times New Roman"/>
          <w:spacing w:val="1"/>
          <w:szCs w:val="24"/>
        </w:rPr>
        <w:t xml:space="preserve">we use to </w:t>
      </w:r>
      <w:r w:rsidRPr="00D8155F">
        <w:rPr>
          <w:rFonts w:eastAsia="Times New Roman" w:cs="Times New Roman"/>
          <w:spacing w:val="1"/>
          <w:szCs w:val="24"/>
        </w:rPr>
        <w:t>define them. Their ambitions on the political arena are what we remember them by, but their achievement has been the character that we relate with them.</w:t>
      </w:r>
      <w:r w:rsidR="00F565D5">
        <w:rPr>
          <w:rFonts w:eastAsia="Times New Roman" w:cs="Times New Roman"/>
          <w:spacing w:val="1"/>
          <w:szCs w:val="24"/>
        </w:rPr>
        <w:t xml:space="preserve"> The fact that popularity in certain aspects allowed the presidents in their eras to achieve mandates they sought is clearly evident, and so is the sway their polls had to favor their intentions. Their popularity fostered independent ages of political agenda. Bill Clinton has also illustrated the likelihood of these polls holding a candidate in a quandary, and the merit that swift action has on maintain reputation and poll figures. Reagan is a great example of using the popularity and additional techniques to facilitate personal agenda</w:t>
      </w:r>
      <w:r w:rsidR="00C2001B">
        <w:rPr>
          <w:rFonts w:eastAsia="Times New Roman" w:cs="Times New Roman"/>
          <w:spacing w:val="1"/>
          <w:szCs w:val="24"/>
        </w:rPr>
        <w:t>. Reagan is also instrumental in instituting laws that would serve long after he was not serving</w:t>
      </w:r>
      <w:r w:rsidR="00F565D5">
        <w:rPr>
          <w:rFonts w:eastAsia="Times New Roman" w:cs="Times New Roman"/>
          <w:spacing w:val="1"/>
          <w:szCs w:val="24"/>
        </w:rPr>
        <w:t xml:space="preserve">. Barack </w:t>
      </w:r>
      <w:r w:rsidR="00C2001B">
        <w:rPr>
          <w:rFonts w:eastAsia="Times New Roman" w:cs="Times New Roman"/>
          <w:spacing w:val="1"/>
          <w:szCs w:val="24"/>
        </w:rPr>
        <w:t>Obama</w:t>
      </w:r>
      <w:r w:rsidR="00F565D5">
        <w:rPr>
          <w:rFonts w:eastAsia="Times New Roman" w:cs="Times New Roman"/>
          <w:spacing w:val="1"/>
          <w:szCs w:val="24"/>
        </w:rPr>
        <w:t xml:space="preserve"> used his influence to support an organization he believed in</w:t>
      </w:r>
      <w:r w:rsidR="00C2001B">
        <w:rPr>
          <w:rFonts w:eastAsia="Times New Roman" w:cs="Times New Roman"/>
          <w:spacing w:val="1"/>
          <w:szCs w:val="24"/>
        </w:rPr>
        <w:t xml:space="preserve">, and in doing so, created global awareness for the initiative. </w:t>
      </w:r>
      <w:r w:rsidR="00542B83">
        <w:rPr>
          <w:rFonts w:eastAsia="Times New Roman" w:cs="Times New Roman"/>
          <w:spacing w:val="1"/>
          <w:szCs w:val="24"/>
        </w:rPr>
        <w:br w:type="page"/>
      </w:r>
    </w:p>
    <w:sdt>
      <w:sdtPr>
        <w:rPr>
          <w:rFonts w:ascii="Times New Roman" w:eastAsiaTheme="minorHAnsi" w:hAnsi="Times New Roman" w:cstheme="minorBidi"/>
          <w:b w:val="0"/>
          <w:bCs w:val="0"/>
          <w:color w:val="auto"/>
          <w:sz w:val="24"/>
          <w:szCs w:val="22"/>
          <w:lang w:eastAsia="en-US"/>
        </w:rPr>
        <w:id w:val="-613667209"/>
        <w:docPartObj>
          <w:docPartGallery w:val="Bibliographies"/>
          <w:docPartUnique/>
        </w:docPartObj>
      </w:sdtPr>
      <w:sdtEndPr/>
      <w:sdtContent>
        <w:p w:rsidR="00542B83" w:rsidRPr="00542B83" w:rsidRDefault="00542B83" w:rsidP="00686A9A">
          <w:pPr>
            <w:pStyle w:val="Heading1"/>
            <w:spacing w:before="0" w:line="480" w:lineRule="auto"/>
            <w:jc w:val="center"/>
            <w:rPr>
              <w:rFonts w:ascii="Times New Roman" w:hAnsi="Times New Roman" w:cs="Times New Roman"/>
              <w:b w:val="0"/>
              <w:color w:val="auto"/>
              <w:sz w:val="24"/>
            </w:rPr>
          </w:pPr>
          <w:r w:rsidRPr="00542B83">
            <w:rPr>
              <w:rFonts w:ascii="Times New Roman" w:hAnsi="Times New Roman" w:cs="Times New Roman"/>
              <w:b w:val="0"/>
              <w:color w:val="auto"/>
              <w:sz w:val="24"/>
            </w:rPr>
            <w:t>Bibliography</w:t>
          </w:r>
        </w:p>
        <w:sdt>
          <w:sdtPr>
            <w:id w:val="111145805"/>
            <w:bibliography/>
          </w:sdtPr>
          <w:sdtEndPr/>
          <w:sdtContent>
            <w:p w:rsidR="00445D9D" w:rsidRDefault="00542B83" w:rsidP="00686A9A">
              <w:pPr>
                <w:pStyle w:val="Bibliography"/>
                <w:spacing w:after="0"/>
                <w:ind w:left="720" w:hanging="720"/>
                <w:rPr>
                  <w:noProof/>
                </w:rPr>
              </w:pPr>
              <w:r>
                <w:fldChar w:fldCharType="begin"/>
              </w:r>
              <w:r>
                <w:instrText xml:space="preserve"> BIBLIOGRAPHY </w:instrText>
              </w:r>
              <w:r>
                <w:fldChar w:fldCharType="separate"/>
              </w:r>
              <w:r w:rsidR="00445D9D">
                <w:rPr>
                  <w:noProof/>
                </w:rPr>
                <w:t xml:space="preserve">Dewberry, David R., and Jonathan H. Millen. "Music as rhetoric: Popular music in presidential campaigns." </w:t>
              </w:r>
              <w:r w:rsidR="00445D9D">
                <w:rPr>
                  <w:i/>
                  <w:iCs/>
                  <w:noProof/>
                </w:rPr>
                <w:t>Atlantic Journal of Communication</w:t>
              </w:r>
              <w:r w:rsidR="00445D9D">
                <w:rPr>
                  <w:noProof/>
                </w:rPr>
                <w:t xml:space="preserve"> 22, no. 2 (2014): 81-92.</w:t>
              </w:r>
            </w:p>
            <w:p w:rsidR="00445D9D" w:rsidRDefault="00445D9D" w:rsidP="00686A9A">
              <w:pPr>
                <w:pStyle w:val="Bibliography"/>
                <w:spacing w:after="0"/>
                <w:ind w:left="720" w:hanging="720"/>
                <w:rPr>
                  <w:noProof/>
                </w:rPr>
              </w:pPr>
              <w:r>
                <w:rPr>
                  <w:noProof/>
                </w:rPr>
                <w:t xml:space="preserve">Fowler, Linda L., and Bryan W. Marshall. "Veto-Proof Majorities, Legislative Procedures, and Presidential Decisions, 1981–2008." </w:t>
              </w:r>
              <w:r>
                <w:rPr>
                  <w:i/>
                  <w:iCs/>
                  <w:noProof/>
                </w:rPr>
                <w:t>Political Research Quarterly</w:t>
              </w:r>
              <w:r>
                <w:rPr>
                  <w:noProof/>
                </w:rPr>
                <w:t xml:space="preserve"> 70, no. 2 (2017): 348-362.</w:t>
              </w:r>
            </w:p>
            <w:p w:rsidR="00445D9D" w:rsidRDefault="00445D9D" w:rsidP="00686A9A">
              <w:pPr>
                <w:pStyle w:val="Bibliography"/>
                <w:spacing w:after="0"/>
                <w:ind w:left="720" w:hanging="720"/>
                <w:rPr>
                  <w:noProof/>
                </w:rPr>
              </w:pPr>
              <w:r>
                <w:rPr>
                  <w:noProof/>
                </w:rPr>
                <w:t xml:space="preserve">Graff, Gilda. "Redesigning racial caste in America via mass incarceration." </w:t>
              </w:r>
              <w:r>
                <w:rPr>
                  <w:i/>
                  <w:iCs/>
                  <w:noProof/>
                </w:rPr>
                <w:t>Journal of Psychohistory</w:t>
              </w:r>
              <w:r>
                <w:rPr>
                  <w:noProof/>
                </w:rPr>
                <w:t xml:space="preserve"> (43) 2 (2015).</w:t>
              </w:r>
            </w:p>
            <w:p w:rsidR="00445D9D" w:rsidRDefault="00445D9D" w:rsidP="00686A9A">
              <w:pPr>
                <w:pStyle w:val="Bibliography"/>
                <w:spacing w:after="0"/>
                <w:ind w:left="720" w:hanging="720"/>
                <w:rPr>
                  <w:noProof/>
                </w:rPr>
              </w:pPr>
              <w:r>
                <w:rPr>
                  <w:noProof/>
                </w:rPr>
                <w:t xml:space="preserve">Greafer, Andreas, J. Scott Armstrong, Randall J. Jones, and Alfred G. Cuzan. "Combining forecasts: An application to elections." </w:t>
              </w:r>
              <w:r>
                <w:rPr>
                  <w:i/>
                  <w:iCs/>
                  <w:noProof/>
                </w:rPr>
                <w:t>International Journal of Forecasting</w:t>
              </w:r>
              <w:r>
                <w:rPr>
                  <w:noProof/>
                </w:rPr>
                <w:t xml:space="preserve"> 30, no. 1 (2014): 43-54.</w:t>
              </w:r>
            </w:p>
            <w:p w:rsidR="00445D9D" w:rsidRDefault="00445D9D" w:rsidP="00686A9A">
              <w:pPr>
                <w:pStyle w:val="Bibliography"/>
                <w:spacing w:after="0"/>
                <w:ind w:left="720" w:hanging="720"/>
                <w:rPr>
                  <w:noProof/>
                </w:rPr>
              </w:pPr>
              <w:r>
                <w:rPr>
                  <w:noProof/>
                </w:rPr>
                <w:t xml:space="preserve">Karenga, Maulana. "Founding the First PhD in Black Studies: A Sankofa Remembrance and Critical Assessment of Its Significance. ." </w:t>
              </w:r>
              <w:r>
                <w:rPr>
                  <w:i/>
                  <w:iCs/>
                  <w:noProof/>
                </w:rPr>
                <w:t>Journal of Black Studies</w:t>
              </w:r>
              <w:r>
                <w:rPr>
                  <w:noProof/>
                </w:rPr>
                <w:t>, 2018: 576-603.</w:t>
              </w:r>
            </w:p>
            <w:p w:rsidR="00445D9D" w:rsidRDefault="00445D9D" w:rsidP="00686A9A">
              <w:pPr>
                <w:pStyle w:val="Bibliography"/>
                <w:spacing w:after="0"/>
                <w:ind w:left="720" w:hanging="720"/>
                <w:rPr>
                  <w:noProof/>
                </w:rPr>
              </w:pPr>
              <w:r>
                <w:rPr>
                  <w:noProof/>
                </w:rPr>
                <w:t xml:space="preserve">Klinkner, Philip A. "Bill Clinton and the politics of the new liberalism." </w:t>
              </w:r>
              <w:r>
                <w:rPr>
                  <w:i/>
                  <w:iCs/>
                  <w:noProof/>
                </w:rPr>
                <w:t>Without justice for all</w:t>
              </w:r>
              <w:r>
                <w:rPr>
                  <w:noProof/>
                </w:rPr>
                <w:t xml:space="preserve"> (Routledge), 2018: 11-28.</w:t>
              </w:r>
            </w:p>
            <w:p w:rsidR="00445D9D" w:rsidRDefault="00445D9D" w:rsidP="00686A9A">
              <w:pPr>
                <w:pStyle w:val="Bibliography"/>
                <w:spacing w:after="0"/>
                <w:ind w:left="720" w:hanging="720"/>
                <w:rPr>
                  <w:noProof/>
                </w:rPr>
              </w:pPr>
              <w:r>
                <w:rPr>
                  <w:noProof/>
                </w:rPr>
                <w:t>Martin, Kameelah, and Elizabeth West. "Sankofa, or “Go Back and Fetch It”: Merging Genealogy and Africana Studies—An Introduction." 2018: 46.</w:t>
              </w:r>
            </w:p>
            <w:p w:rsidR="00445D9D" w:rsidRDefault="00445D9D" w:rsidP="00686A9A">
              <w:pPr>
                <w:pStyle w:val="Bibliography"/>
                <w:spacing w:after="0"/>
                <w:ind w:left="720" w:hanging="720"/>
                <w:rPr>
                  <w:noProof/>
                </w:rPr>
              </w:pPr>
              <w:r>
                <w:rPr>
                  <w:noProof/>
                </w:rPr>
                <w:t xml:space="preserve">Murch, Donna. "Crack in Los Angeles: Crisis, militarization, and black response to the late twentieth-century war on drugs." </w:t>
              </w:r>
              <w:r>
                <w:rPr>
                  <w:i/>
                  <w:iCs/>
                  <w:noProof/>
                </w:rPr>
                <w:t>Journal of American History</w:t>
              </w:r>
              <w:r>
                <w:rPr>
                  <w:noProof/>
                </w:rPr>
                <w:t xml:space="preserve"> 102, no. 1 (2015): 162-173.</w:t>
              </w:r>
            </w:p>
            <w:p w:rsidR="00445D9D" w:rsidRDefault="00445D9D" w:rsidP="00686A9A">
              <w:pPr>
                <w:pStyle w:val="Bibliography"/>
                <w:spacing w:after="0"/>
                <w:ind w:left="720" w:hanging="720"/>
                <w:rPr>
                  <w:noProof/>
                </w:rPr>
              </w:pPr>
              <w:r>
                <w:rPr>
                  <w:noProof/>
                </w:rPr>
                <w:t xml:space="preserve">Newell, Walker. "The legacy of Nixon, Reagan, and Horton: How the tough on crime movement enabled a new regime of race-influenced discrimination." </w:t>
              </w:r>
              <w:r>
                <w:rPr>
                  <w:i/>
                  <w:iCs/>
                  <w:noProof/>
                </w:rPr>
                <w:t>Berkeley Journal of African-American Law &amp; Policy</w:t>
              </w:r>
              <w:r>
                <w:rPr>
                  <w:noProof/>
                </w:rPr>
                <w:t xml:space="preserve"> 15 (2013): 3.</w:t>
              </w:r>
            </w:p>
            <w:p w:rsidR="00445D9D" w:rsidRDefault="00445D9D" w:rsidP="00686A9A">
              <w:pPr>
                <w:pStyle w:val="Bibliography"/>
                <w:spacing w:after="0"/>
                <w:ind w:left="720" w:hanging="720"/>
                <w:rPr>
                  <w:noProof/>
                </w:rPr>
              </w:pPr>
              <w:r>
                <w:rPr>
                  <w:noProof/>
                </w:rPr>
                <w:lastRenderedPageBreak/>
                <w:t xml:space="preserve">Talpade, Medha, and Salil Talpade. ""Sankofa" Teaching and Learning: Evaluating Relevance for Today's African-American Student." </w:t>
              </w:r>
              <w:r>
                <w:rPr>
                  <w:i/>
                  <w:iCs/>
                  <w:noProof/>
                </w:rPr>
                <w:t>Journal of Instructional Pedagogies</w:t>
              </w:r>
              <w:r>
                <w:rPr>
                  <w:noProof/>
                </w:rPr>
                <w:t>, 2014: 15.</w:t>
              </w:r>
            </w:p>
            <w:p w:rsidR="00445D9D" w:rsidRDefault="00445D9D" w:rsidP="00686A9A">
              <w:pPr>
                <w:pStyle w:val="Bibliography"/>
                <w:spacing w:after="0"/>
                <w:ind w:left="720" w:hanging="720"/>
                <w:rPr>
                  <w:noProof/>
                </w:rPr>
              </w:pPr>
              <w:r>
                <w:rPr>
                  <w:noProof/>
                </w:rPr>
                <w:t xml:space="preserve">White, Mark. "Son of the Sixties: The Controversial Image of Bill Clinton." </w:t>
              </w:r>
              <w:r>
                <w:rPr>
                  <w:i/>
                  <w:iCs/>
                  <w:noProof/>
                </w:rPr>
                <w:t>History</w:t>
              </w:r>
              <w:r>
                <w:rPr>
                  <w:noProof/>
                </w:rPr>
                <w:t xml:space="preserve"> 103, no. 354 (2018): 100-123.</w:t>
              </w:r>
            </w:p>
            <w:p w:rsidR="00542B83" w:rsidRDefault="00542B83" w:rsidP="00686A9A">
              <w:pPr>
                <w:spacing w:after="0"/>
              </w:pPr>
              <w:r>
                <w:rPr>
                  <w:b/>
                  <w:bCs/>
                  <w:noProof/>
                </w:rPr>
                <w:fldChar w:fldCharType="end"/>
              </w:r>
            </w:p>
          </w:sdtContent>
        </w:sdt>
      </w:sdtContent>
    </w:sdt>
    <w:p w:rsidR="00A056A4" w:rsidRPr="00D8155F" w:rsidRDefault="00A056A4" w:rsidP="00686A9A">
      <w:pPr>
        <w:spacing w:after="0"/>
      </w:pPr>
    </w:p>
    <w:sectPr w:rsidR="00A056A4" w:rsidRPr="00D8155F" w:rsidSect="009245F0">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61C" w:rsidRDefault="007A361C" w:rsidP="00D8155F">
      <w:pPr>
        <w:spacing w:after="0" w:line="240" w:lineRule="auto"/>
      </w:pPr>
      <w:r>
        <w:separator/>
      </w:r>
    </w:p>
  </w:endnote>
  <w:endnote w:type="continuationSeparator" w:id="0">
    <w:p w:rsidR="007A361C" w:rsidRDefault="007A361C" w:rsidP="00D81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61C" w:rsidRDefault="007A361C" w:rsidP="00D8155F">
      <w:pPr>
        <w:spacing w:after="0" w:line="240" w:lineRule="auto"/>
      </w:pPr>
      <w:r>
        <w:separator/>
      </w:r>
    </w:p>
  </w:footnote>
  <w:footnote w:type="continuationSeparator" w:id="0">
    <w:p w:rsidR="007A361C" w:rsidRDefault="007A361C" w:rsidP="00D8155F">
      <w:pPr>
        <w:spacing w:after="0" w:line="240" w:lineRule="auto"/>
      </w:pPr>
      <w:r>
        <w:continuationSeparator/>
      </w:r>
    </w:p>
  </w:footnote>
  <w:footnote w:id="1">
    <w:p w:rsidR="00542B83" w:rsidRDefault="00542B83">
      <w:pPr>
        <w:pStyle w:val="FootnoteText"/>
      </w:pPr>
      <w:r>
        <w:rPr>
          <w:rStyle w:val="FootnoteReference"/>
        </w:rPr>
        <w:footnoteRef/>
      </w:r>
      <w:r>
        <w:t xml:space="preserve"> </w:t>
      </w:r>
      <w:r>
        <w:rPr>
          <w:noProof/>
        </w:rPr>
        <w:t xml:space="preserve">Greafer, Andreas, J. Scott Armstrong, Randall J. Jones, and Alfred G. Cuzan. "Combining forecasts: An application to elections." </w:t>
      </w:r>
      <w:r>
        <w:rPr>
          <w:i/>
          <w:iCs/>
          <w:noProof/>
        </w:rPr>
        <w:t>International Journal of Forecasting</w:t>
      </w:r>
      <w:r>
        <w:rPr>
          <w:noProof/>
        </w:rPr>
        <w:t xml:space="preserve"> 30, no. 1 (2014): 43-5</w:t>
      </w:r>
    </w:p>
  </w:footnote>
  <w:footnote w:id="2">
    <w:p w:rsidR="00C85EDA" w:rsidRDefault="00C85EDA">
      <w:pPr>
        <w:pStyle w:val="FootnoteText"/>
      </w:pPr>
      <w:r>
        <w:rPr>
          <w:rStyle w:val="FootnoteReference"/>
        </w:rPr>
        <w:footnoteRef/>
      </w:r>
      <w:r>
        <w:t xml:space="preserve"> </w:t>
      </w:r>
      <w:r>
        <w:rPr>
          <w:noProof/>
        </w:rPr>
        <w:t xml:space="preserve">Fowler, Linda L., and Bryan W. Marshall. "Veto-Proof Majorities, Legislative Procedures, and Presidential Decisions, 1981–2008." </w:t>
      </w:r>
      <w:r>
        <w:rPr>
          <w:i/>
          <w:iCs/>
          <w:noProof/>
        </w:rPr>
        <w:t>Political Research Quarterly</w:t>
      </w:r>
      <w:r>
        <w:rPr>
          <w:noProof/>
        </w:rPr>
        <w:t xml:space="preserve"> 70, no. 2 (2017): 348-362</w:t>
      </w:r>
    </w:p>
  </w:footnote>
  <w:footnote w:id="3">
    <w:p w:rsidR="00C85EDA" w:rsidRDefault="00C85EDA">
      <w:pPr>
        <w:pStyle w:val="FootnoteText"/>
      </w:pPr>
      <w:r>
        <w:rPr>
          <w:rStyle w:val="FootnoteReference"/>
        </w:rPr>
        <w:footnoteRef/>
      </w:r>
      <w:r>
        <w:t xml:space="preserve"> </w:t>
      </w:r>
      <w:r>
        <w:rPr>
          <w:noProof/>
        </w:rPr>
        <w:t xml:space="preserve">Murch, Donna. "Crack in Los Angeles: Crisis, militarization, and black response to the late twentieth-century war on drugs." </w:t>
      </w:r>
      <w:r>
        <w:rPr>
          <w:i/>
          <w:iCs/>
          <w:noProof/>
        </w:rPr>
        <w:t>Journal of American History</w:t>
      </w:r>
      <w:r>
        <w:rPr>
          <w:noProof/>
        </w:rPr>
        <w:t xml:space="preserve"> 102, no. 1 (2015): 162-173</w:t>
      </w:r>
    </w:p>
  </w:footnote>
  <w:footnote w:id="4">
    <w:p w:rsidR="00C85EDA" w:rsidRDefault="00C85EDA">
      <w:pPr>
        <w:pStyle w:val="FootnoteText"/>
      </w:pPr>
      <w:r>
        <w:rPr>
          <w:rStyle w:val="FootnoteReference"/>
        </w:rPr>
        <w:footnoteRef/>
      </w:r>
      <w:r>
        <w:t xml:space="preserve"> </w:t>
      </w:r>
      <w:r>
        <w:rPr>
          <w:noProof/>
        </w:rPr>
        <w:t xml:space="preserve">Fowler, Linda L., and Bryan W. Marshall. "Veto-Proof Majorities, Legislative Procedures, and Presidential Decisions, 1981–2008." </w:t>
      </w:r>
      <w:r>
        <w:rPr>
          <w:i/>
          <w:iCs/>
          <w:noProof/>
        </w:rPr>
        <w:t>Political Research Quarterly</w:t>
      </w:r>
      <w:r>
        <w:rPr>
          <w:noProof/>
        </w:rPr>
        <w:t xml:space="preserve"> 70, no. 2 (2017): 348-362</w:t>
      </w:r>
    </w:p>
  </w:footnote>
  <w:footnote w:id="5">
    <w:p w:rsidR="00C85EDA" w:rsidRDefault="00C85EDA">
      <w:pPr>
        <w:pStyle w:val="FootnoteText"/>
      </w:pPr>
      <w:r>
        <w:rPr>
          <w:rStyle w:val="FootnoteReference"/>
        </w:rPr>
        <w:footnoteRef/>
      </w:r>
      <w:r>
        <w:t xml:space="preserve"> </w:t>
      </w:r>
      <w:r>
        <w:rPr>
          <w:noProof/>
        </w:rPr>
        <w:t xml:space="preserve">Newell, Walker. "The legacy of Nixon, Reagan, and Horton: How the tough on crime movement enabled a new regime of race-influenced discrimination." </w:t>
      </w:r>
      <w:r>
        <w:rPr>
          <w:i/>
          <w:iCs/>
          <w:noProof/>
        </w:rPr>
        <w:t>Berkeley Journal of African-American Law &amp; Policy</w:t>
      </w:r>
      <w:r>
        <w:rPr>
          <w:noProof/>
        </w:rPr>
        <w:t xml:space="preserve"> 15 (2013): 3</w:t>
      </w:r>
    </w:p>
  </w:footnote>
  <w:footnote w:id="6">
    <w:p w:rsidR="00C85EDA" w:rsidRDefault="00C85EDA">
      <w:pPr>
        <w:pStyle w:val="FootnoteText"/>
      </w:pPr>
      <w:r>
        <w:rPr>
          <w:rStyle w:val="FootnoteReference"/>
        </w:rPr>
        <w:footnoteRef/>
      </w:r>
      <w:r>
        <w:t xml:space="preserve"> </w:t>
      </w:r>
      <w:r>
        <w:rPr>
          <w:noProof/>
        </w:rPr>
        <w:t xml:space="preserve">Graff, Gilda. "Redesigning racial caste in America via mass incarceration." </w:t>
      </w:r>
      <w:r>
        <w:rPr>
          <w:i/>
          <w:iCs/>
          <w:noProof/>
        </w:rPr>
        <w:t>Journal of Psychohistory</w:t>
      </w:r>
    </w:p>
  </w:footnote>
  <w:footnote w:id="7">
    <w:p w:rsidR="00F565D5" w:rsidRDefault="00F565D5">
      <w:pPr>
        <w:pStyle w:val="FootnoteText"/>
      </w:pPr>
      <w:r>
        <w:rPr>
          <w:rStyle w:val="FootnoteReference"/>
        </w:rPr>
        <w:footnoteRef/>
      </w:r>
      <w:r>
        <w:t xml:space="preserve"> </w:t>
      </w:r>
      <w:r>
        <w:rPr>
          <w:noProof/>
        </w:rPr>
        <w:t xml:space="preserve">White, Mark. "Son of the Sixties: The Controversial Image of Bill Clinton." </w:t>
      </w:r>
      <w:r>
        <w:rPr>
          <w:i/>
          <w:iCs/>
          <w:noProof/>
        </w:rPr>
        <w:t>History</w:t>
      </w:r>
      <w:r>
        <w:rPr>
          <w:noProof/>
        </w:rPr>
        <w:t xml:space="preserve"> 103, no. 354 (2018): 100-123</w:t>
      </w:r>
    </w:p>
  </w:footnote>
  <w:footnote w:id="8">
    <w:p w:rsidR="00C85EDA" w:rsidRDefault="00C85EDA">
      <w:pPr>
        <w:pStyle w:val="FootnoteText"/>
      </w:pPr>
      <w:r>
        <w:rPr>
          <w:rStyle w:val="FootnoteReference"/>
        </w:rPr>
        <w:footnoteRef/>
      </w:r>
      <w:r>
        <w:t xml:space="preserve"> </w:t>
      </w:r>
      <w:r>
        <w:rPr>
          <w:noProof/>
        </w:rPr>
        <w:t xml:space="preserve">Dewberry, David R., and Jonathan H. Millen. "Music as rhetoric: Popular music in presidential campaigns." </w:t>
      </w:r>
      <w:r>
        <w:rPr>
          <w:i/>
          <w:iCs/>
          <w:noProof/>
        </w:rPr>
        <w:t>Atlantic Journal of Communication</w:t>
      </w:r>
      <w:r>
        <w:rPr>
          <w:noProof/>
        </w:rPr>
        <w:t xml:space="preserve"> 22, no. 2 (2014): 81-92</w:t>
      </w:r>
    </w:p>
  </w:footnote>
  <w:footnote w:id="9">
    <w:p w:rsidR="00445D9D" w:rsidRDefault="00445D9D">
      <w:pPr>
        <w:pStyle w:val="FootnoteText"/>
      </w:pPr>
      <w:r>
        <w:rPr>
          <w:rStyle w:val="FootnoteReference"/>
        </w:rPr>
        <w:footnoteRef/>
      </w:r>
      <w:r>
        <w:t xml:space="preserve"> </w:t>
      </w:r>
      <w:r>
        <w:rPr>
          <w:noProof/>
        </w:rPr>
        <w:t xml:space="preserve">Klinkner, Philip A. "Bill Clinton and the politics of the new liberalism." </w:t>
      </w:r>
      <w:r>
        <w:rPr>
          <w:i/>
          <w:iCs/>
          <w:noProof/>
        </w:rPr>
        <w:t>Without justice for all</w:t>
      </w:r>
      <w:r>
        <w:rPr>
          <w:noProof/>
        </w:rPr>
        <w:t xml:space="preserve"> (Routledge), 2018: 11-28</w:t>
      </w:r>
    </w:p>
  </w:footnote>
  <w:footnote w:id="10">
    <w:p w:rsidR="00F565D5" w:rsidRDefault="00F565D5">
      <w:pPr>
        <w:pStyle w:val="FootnoteText"/>
      </w:pPr>
      <w:r>
        <w:rPr>
          <w:rStyle w:val="FootnoteReference"/>
        </w:rPr>
        <w:footnoteRef/>
      </w:r>
      <w:r>
        <w:t xml:space="preserve"> </w:t>
      </w:r>
      <w:r>
        <w:rPr>
          <w:noProof/>
        </w:rPr>
        <w:t>Martin, Kameelah, and Elizabeth West. "Sankofa, or “Go Back and Fetch It”: Merging Genealogy and Africana Studies—An Introduction." 2018: 46</w:t>
      </w:r>
    </w:p>
  </w:footnote>
  <w:footnote w:id="11">
    <w:p w:rsidR="00445D9D" w:rsidRDefault="00445D9D">
      <w:pPr>
        <w:pStyle w:val="FootnoteText"/>
      </w:pPr>
      <w:r>
        <w:rPr>
          <w:rStyle w:val="FootnoteReference"/>
        </w:rPr>
        <w:footnoteRef/>
      </w:r>
      <w:r>
        <w:t xml:space="preserve"> </w:t>
      </w:r>
      <w:r>
        <w:rPr>
          <w:noProof/>
        </w:rPr>
        <w:t xml:space="preserve">Karenga, Maulana. "Founding the First PhD in Black Studies: A Sankofa Remembrance and Critical Assessment of Its Significance. ." </w:t>
      </w:r>
      <w:r>
        <w:rPr>
          <w:i/>
          <w:iCs/>
          <w:noProof/>
        </w:rPr>
        <w:t>Journal of Black Studies</w:t>
      </w:r>
      <w:r>
        <w:rPr>
          <w:noProof/>
        </w:rPr>
        <w:t>, 2018: 576-603</w:t>
      </w:r>
    </w:p>
  </w:footnote>
  <w:footnote w:id="12">
    <w:p w:rsidR="00445D9D" w:rsidRDefault="00445D9D">
      <w:pPr>
        <w:pStyle w:val="FootnoteText"/>
      </w:pPr>
      <w:r>
        <w:rPr>
          <w:rStyle w:val="FootnoteReference"/>
        </w:rPr>
        <w:footnoteRef/>
      </w:r>
      <w:r>
        <w:t xml:space="preserve"> </w:t>
      </w:r>
      <w:r>
        <w:rPr>
          <w:noProof/>
        </w:rPr>
        <w:t xml:space="preserve">Talpade, Medha, and Salil Talpade. ""Sankofa" Teaching and Learning: Evaluating Relevance for Today's African-American Student." </w:t>
      </w:r>
      <w:r>
        <w:rPr>
          <w:i/>
          <w:iCs/>
          <w:noProof/>
        </w:rPr>
        <w:t>Journal of Instructional Pedagogies</w:t>
      </w:r>
      <w:r>
        <w:rPr>
          <w:noProof/>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015869"/>
      <w:docPartObj>
        <w:docPartGallery w:val="Page Numbers (Top of Page)"/>
        <w:docPartUnique/>
      </w:docPartObj>
    </w:sdtPr>
    <w:sdtEndPr>
      <w:rPr>
        <w:noProof/>
      </w:rPr>
    </w:sdtEndPr>
    <w:sdtContent>
      <w:p w:rsidR="00D8155F" w:rsidRDefault="00D8155F">
        <w:pPr>
          <w:pStyle w:val="Header"/>
          <w:jc w:val="right"/>
        </w:pPr>
        <w:r>
          <w:fldChar w:fldCharType="begin"/>
        </w:r>
        <w:r>
          <w:instrText xml:space="preserve"> PAGE   \* MERGEFORMAT </w:instrText>
        </w:r>
        <w:r>
          <w:fldChar w:fldCharType="separate"/>
        </w:r>
        <w:r w:rsidR="00686A9A">
          <w:rPr>
            <w:noProof/>
          </w:rPr>
          <w:t>6</w:t>
        </w:r>
        <w:r>
          <w:rPr>
            <w:noProof/>
          </w:rPr>
          <w:fldChar w:fldCharType="end"/>
        </w:r>
      </w:p>
    </w:sdtContent>
  </w:sdt>
  <w:p w:rsidR="00D8155F" w:rsidRDefault="00D815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E5E"/>
    <w:rsid w:val="00367754"/>
    <w:rsid w:val="00445D9D"/>
    <w:rsid w:val="004D736B"/>
    <w:rsid w:val="00513C96"/>
    <w:rsid w:val="00542B83"/>
    <w:rsid w:val="00580963"/>
    <w:rsid w:val="005D2B43"/>
    <w:rsid w:val="00646CCB"/>
    <w:rsid w:val="00686A9A"/>
    <w:rsid w:val="006E2202"/>
    <w:rsid w:val="006E422D"/>
    <w:rsid w:val="006E6D27"/>
    <w:rsid w:val="007A361C"/>
    <w:rsid w:val="00841B1E"/>
    <w:rsid w:val="008A76FA"/>
    <w:rsid w:val="008B1048"/>
    <w:rsid w:val="009245F0"/>
    <w:rsid w:val="0094503B"/>
    <w:rsid w:val="00985EAD"/>
    <w:rsid w:val="009F7E2A"/>
    <w:rsid w:val="00A056A4"/>
    <w:rsid w:val="00C2001B"/>
    <w:rsid w:val="00C60C9A"/>
    <w:rsid w:val="00C85EDA"/>
    <w:rsid w:val="00D2147A"/>
    <w:rsid w:val="00D8155F"/>
    <w:rsid w:val="00E9301D"/>
    <w:rsid w:val="00EB6E5E"/>
    <w:rsid w:val="00F04115"/>
    <w:rsid w:val="00F56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40D5B"/>
  <w15:docId w15:val="{6685D20D-529C-469A-9BEB-32AB4B929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42B8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1B1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94503B"/>
    <w:rPr>
      <w:i/>
      <w:iCs/>
    </w:rPr>
  </w:style>
  <w:style w:type="paragraph" w:styleId="Header">
    <w:name w:val="header"/>
    <w:basedOn w:val="Normal"/>
    <w:link w:val="HeaderChar"/>
    <w:uiPriority w:val="99"/>
    <w:unhideWhenUsed/>
    <w:rsid w:val="00D81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55F"/>
  </w:style>
  <w:style w:type="paragraph" w:styleId="Footer">
    <w:name w:val="footer"/>
    <w:basedOn w:val="Normal"/>
    <w:link w:val="FooterChar"/>
    <w:uiPriority w:val="99"/>
    <w:unhideWhenUsed/>
    <w:rsid w:val="00D81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55F"/>
  </w:style>
  <w:style w:type="character" w:customStyle="1" w:styleId="Heading1Char">
    <w:name w:val="Heading 1 Char"/>
    <w:basedOn w:val="DefaultParagraphFont"/>
    <w:link w:val="Heading1"/>
    <w:uiPriority w:val="9"/>
    <w:rsid w:val="00542B8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42B83"/>
  </w:style>
  <w:style w:type="paragraph" w:styleId="BalloonText">
    <w:name w:val="Balloon Text"/>
    <w:basedOn w:val="Normal"/>
    <w:link w:val="BalloonTextChar"/>
    <w:uiPriority w:val="99"/>
    <w:semiHidden/>
    <w:unhideWhenUsed/>
    <w:rsid w:val="00542B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B83"/>
    <w:rPr>
      <w:rFonts w:ascii="Tahoma" w:hAnsi="Tahoma" w:cs="Tahoma"/>
      <w:sz w:val="16"/>
      <w:szCs w:val="16"/>
    </w:rPr>
  </w:style>
  <w:style w:type="paragraph" w:styleId="EndnoteText">
    <w:name w:val="endnote text"/>
    <w:basedOn w:val="Normal"/>
    <w:link w:val="EndnoteTextChar"/>
    <w:uiPriority w:val="99"/>
    <w:semiHidden/>
    <w:unhideWhenUsed/>
    <w:rsid w:val="00542B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2B83"/>
    <w:rPr>
      <w:sz w:val="20"/>
      <w:szCs w:val="20"/>
    </w:rPr>
  </w:style>
  <w:style w:type="character" w:styleId="EndnoteReference">
    <w:name w:val="endnote reference"/>
    <w:basedOn w:val="DefaultParagraphFont"/>
    <w:uiPriority w:val="99"/>
    <w:semiHidden/>
    <w:unhideWhenUsed/>
    <w:rsid w:val="00542B83"/>
    <w:rPr>
      <w:vertAlign w:val="superscript"/>
    </w:rPr>
  </w:style>
  <w:style w:type="paragraph" w:styleId="FootnoteText">
    <w:name w:val="footnote text"/>
    <w:basedOn w:val="Normal"/>
    <w:link w:val="FootnoteTextChar"/>
    <w:uiPriority w:val="99"/>
    <w:semiHidden/>
    <w:unhideWhenUsed/>
    <w:rsid w:val="00542B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2B83"/>
    <w:rPr>
      <w:sz w:val="20"/>
      <w:szCs w:val="20"/>
    </w:rPr>
  </w:style>
  <w:style w:type="character" w:styleId="FootnoteReference">
    <w:name w:val="footnote reference"/>
    <w:basedOn w:val="DefaultParagraphFont"/>
    <w:uiPriority w:val="99"/>
    <w:semiHidden/>
    <w:unhideWhenUsed/>
    <w:rsid w:val="00542B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62148">
      <w:bodyDiv w:val="1"/>
      <w:marLeft w:val="0"/>
      <w:marRight w:val="0"/>
      <w:marTop w:val="0"/>
      <w:marBottom w:val="0"/>
      <w:divBdr>
        <w:top w:val="none" w:sz="0" w:space="0" w:color="auto"/>
        <w:left w:val="none" w:sz="0" w:space="0" w:color="auto"/>
        <w:bottom w:val="none" w:sz="0" w:space="0" w:color="auto"/>
        <w:right w:val="none" w:sz="0" w:space="0" w:color="auto"/>
      </w:divBdr>
    </w:div>
    <w:div w:id="770667751">
      <w:bodyDiv w:val="1"/>
      <w:marLeft w:val="0"/>
      <w:marRight w:val="0"/>
      <w:marTop w:val="0"/>
      <w:marBottom w:val="0"/>
      <w:divBdr>
        <w:top w:val="none" w:sz="0" w:space="0" w:color="auto"/>
        <w:left w:val="none" w:sz="0" w:space="0" w:color="auto"/>
        <w:bottom w:val="none" w:sz="0" w:space="0" w:color="auto"/>
        <w:right w:val="none" w:sz="0" w:space="0" w:color="auto"/>
      </w:divBdr>
    </w:div>
    <w:div w:id="1105736699">
      <w:bodyDiv w:val="1"/>
      <w:marLeft w:val="0"/>
      <w:marRight w:val="0"/>
      <w:marTop w:val="0"/>
      <w:marBottom w:val="0"/>
      <w:divBdr>
        <w:top w:val="none" w:sz="0" w:space="0" w:color="auto"/>
        <w:left w:val="none" w:sz="0" w:space="0" w:color="auto"/>
        <w:bottom w:val="none" w:sz="0" w:space="0" w:color="auto"/>
        <w:right w:val="none" w:sz="0" w:space="0" w:color="auto"/>
      </w:divBdr>
    </w:div>
    <w:div w:id="1223709792">
      <w:bodyDiv w:val="1"/>
      <w:marLeft w:val="0"/>
      <w:marRight w:val="0"/>
      <w:marTop w:val="0"/>
      <w:marBottom w:val="0"/>
      <w:divBdr>
        <w:top w:val="none" w:sz="0" w:space="0" w:color="auto"/>
        <w:left w:val="none" w:sz="0" w:space="0" w:color="auto"/>
        <w:bottom w:val="none" w:sz="0" w:space="0" w:color="auto"/>
        <w:right w:val="none" w:sz="0" w:space="0" w:color="auto"/>
      </w:divBdr>
    </w:div>
    <w:div w:id="1650204128">
      <w:bodyDiv w:val="1"/>
      <w:marLeft w:val="0"/>
      <w:marRight w:val="0"/>
      <w:marTop w:val="0"/>
      <w:marBottom w:val="0"/>
      <w:divBdr>
        <w:top w:val="none" w:sz="0" w:space="0" w:color="auto"/>
        <w:left w:val="none" w:sz="0" w:space="0" w:color="auto"/>
        <w:bottom w:val="none" w:sz="0" w:space="0" w:color="auto"/>
        <w:right w:val="none" w:sz="0" w:space="0" w:color="auto"/>
      </w:divBdr>
    </w:div>
    <w:div w:id="200975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Gre14</b:Tag>
    <b:SourceType>JournalArticle</b:SourceType>
    <b:Guid>{6002E6B9-DAA8-4E75-819F-CDC3FB48C12B}</b:Guid>
    <b:Title>Combining forecasts: An application to elections.</b:Title>
    <b:JournalName>International Journal of Forecasting</b:JournalName>
    <b:Year>2014</b:Year>
    <b:Pages>43-54</b:Pages>
    <b:Author>
      <b:Author>
        <b:NameList>
          <b:Person>
            <b:Last>Greafer</b:Last>
            <b:First>Andreas</b:First>
          </b:Person>
          <b:Person>
            <b:Last>Armstrong</b:Last>
            <b:Middle>Scott</b:Middle>
            <b:First>J.</b:First>
          </b:Person>
          <b:Person>
            <b:Last>Jones</b:Last>
            <b:Middle>J.</b:Middle>
            <b:First>Randall</b:First>
          </b:Person>
          <b:Person>
            <b:Last>Cuzan</b:Last>
            <b:Middle>G.</b:Middle>
            <b:First>Alfred </b:First>
          </b:Person>
        </b:NameList>
      </b:Author>
    </b:Author>
    <b:Volume>30</b:Volume>
    <b:Issue>1</b:Issue>
    <b:RefOrder>1</b:RefOrder>
  </b:Source>
  <b:Source>
    <b:Tag>Fow17</b:Tag>
    <b:SourceType>JournalArticle</b:SourceType>
    <b:Guid>{F1CBDBC7-E23C-428E-9DE1-9C5C9EB8B82B}</b:Guid>
    <b:Title>Veto-Proof Majorities, Legislative Procedures, and Presidential Decisions, 1981–2008.</b:Title>
    <b:JournalName>Political Research Quarterly</b:JournalName>
    <b:Year>2017</b:Year>
    <b:Pages>348-362</b:Pages>
    <b:Author>
      <b:Author>
        <b:NameList>
          <b:Person>
            <b:Last>Fowler</b:Last>
            <b:Middle>L.</b:Middle>
            <b:First>Linda</b:First>
          </b:Person>
          <b:Person>
            <b:Last>Marshall</b:Last>
            <b:Middle>W.</b:Middle>
            <b:First>Bryan</b:First>
          </b:Person>
        </b:NameList>
      </b:Author>
    </b:Author>
    <b:Volume>70</b:Volume>
    <b:Issue>2</b:Issue>
    <b:RefOrder>2</b:RefOrder>
  </b:Source>
  <b:Source>
    <b:Tag>New13</b:Tag>
    <b:SourceType>JournalArticle</b:SourceType>
    <b:Guid>{E8EC4A8A-F67A-4076-84B3-6AA9786D817C}</b:Guid>
    <b:Title>The legacy of Nixon, Reagan, and Horton: How the tough on crime movement enabled a new regime of race-influenced discrimination</b:Title>
    <b:JournalName>Berkeley Journal of African-American Law &amp; Policy</b:JournalName>
    <b:Year>2013</b:Year>
    <b:Pages>3</b:Pages>
    <b:Author>
      <b:Author>
        <b:NameList>
          <b:Person>
            <b:Last>Newell</b:Last>
            <b:First>Walker</b:First>
          </b:Person>
        </b:NameList>
      </b:Author>
    </b:Author>
    <b:Volume>15</b:Volume>
    <b:RefOrder>3</b:RefOrder>
  </b:Source>
  <b:Source>
    <b:Tag>Mur15</b:Tag>
    <b:SourceType>JournalArticle</b:SourceType>
    <b:Guid>{4E06325A-108A-48FE-B9CE-CCDB0E451558}</b:Guid>
    <b:Title>Crack in Los Angeles: Crisis, militarization, and black response to the late twentieth-century war on drugs.</b:Title>
    <b:JournalName>Journal of American History</b:JournalName>
    <b:Year>2015</b:Year>
    <b:Pages>162-173</b:Pages>
    <b:Author>
      <b:Author>
        <b:NameList>
          <b:Person>
            <b:Last>Murch</b:Last>
            <b:First>Donna</b:First>
          </b:Person>
        </b:NameList>
      </b:Author>
    </b:Author>
    <b:Volume>102</b:Volume>
    <b:Issue>1</b:Issue>
    <b:RefOrder>4</b:RefOrder>
  </b:Source>
  <b:Source>
    <b:Tag>Gra15</b:Tag>
    <b:SourceType>JournalArticle</b:SourceType>
    <b:Guid>{7DF31C66-825D-46B8-BCDB-99ED5EB9B311}</b:Guid>
    <b:Title>Redesigning racial caste in America via mass incarceration</b:Title>
    <b:JournalName>Journal of Psychohistory</b:JournalName>
    <b:Year>2015</b:Year>
    <b:Author>
      <b:Author>
        <b:NameList>
          <b:Person>
            <b:Last>Graff</b:Last>
            <b:First>Gilda</b:First>
          </b:Person>
        </b:NameList>
      </b:Author>
    </b:Author>
    <b:Publisher>43</b:Publisher>
    <b:Volume>2</b:Volume>
    <b:RefOrder>5</b:RefOrder>
  </b:Source>
  <b:Source>
    <b:Tag>Dew14</b:Tag>
    <b:SourceType>JournalArticle</b:SourceType>
    <b:Guid>{52975E09-B6D3-43F9-90E6-1280F3D631C5}</b:Guid>
    <b:Title>Music as rhetoric: Popular music in presidential campaigns</b:Title>
    <b:JournalName>Atlantic Journal of Communication</b:JournalName>
    <b:Year>2014</b:Year>
    <b:Pages>81-92</b:Pages>
    <b:Author>
      <b:Author>
        <b:NameList>
          <b:Person>
            <b:Last>Dewberry</b:Last>
            <b:Middle>R.</b:Middle>
            <b:First>David</b:First>
          </b:Person>
          <b:Person>
            <b:Last>Millen</b:Last>
            <b:Middle>H.</b:Middle>
            <b:First>Jonathan</b:First>
          </b:Person>
        </b:NameList>
      </b:Author>
    </b:Author>
    <b:Volume>22</b:Volume>
    <b:Issue>2</b:Issue>
    <b:RefOrder>6</b:RefOrder>
  </b:Source>
  <b:Source>
    <b:Tag>Kli18</b:Tag>
    <b:SourceType>JournalArticle</b:SourceType>
    <b:Guid>{41EE7106-DB05-43F7-AB79-45089542B143}</b:Guid>
    <b:Title>Bill Clinton and the politics of the new liberalism</b:Title>
    <b:JournalName>Without justice for all</b:JournalName>
    <b:Year>2018</b:Year>
    <b:Pages>11-28</b:Pages>
    <b:Author>
      <b:Author>
        <b:NameList>
          <b:Person>
            <b:Last>Klinkner</b:Last>
            <b:Middle>A.</b:Middle>
            <b:First>Philip</b:First>
          </b:Person>
        </b:NameList>
      </b:Author>
    </b:Author>
    <b:Publisher>Routledge</b:Publisher>
    <b:RefOrder>7</b:RefOrder>
  </b:Source>
  <b:Source>
    <b:Tag>Kar18</b:Tag>
    <b:SourceType>JournalArticle</b:SourceType>
    <b:Guid>{CC2DA421-D391-47C6-B458-6930537D079F}</b:Guid>
    <b:Title>Founding the First PhD in Black Studies: A Sankofa Remembrance and Critical Assessment of Its Significance. </b:Title>
    <b:JournalName>Journal of Black Studies</b:JournalName>
    <b:Year>2018</b:Year>
    <b:Pages>576-603</b:Pages>
    <b:Author>
      <b:Author>
        <b:NameList>
          <b:Person>
            <b:Last>Karenga</b:Last>
            <b:First>Maulana</b:First>
          </b:Person>
        </b:NameList>
      </b:Author>
    </b:Author>
    <b:RefOrder>8</b:RefOrder>
  </b:Source>
  <b:Source>
    <b:Tag>Mar18</b:Tag>
    <b:SourceType>JournalArticle</b:SourceType>
    <b:Guid>{11E00F14-2C38-4DEE-A716-279CF7AC7084}</b:Guid>
    <b:Title>Sankofa, or “Go Back and Fetch It”: Merging Genealogy and Africana Studies—An Introduction</b:Title>
    <b:Year>2018</b:Year>
    <b:Pages>46</b:Pages>
    <b:Author>
      <b:Author>
        <b:NameList>
          <b:Person>
            <b:Last>Martin</b:Last>
            <b:First>Kameelah</b:First>
          </b:Person>
          <b:Person>
            <b:Last>West</b:Last>
            <b:First>Elizabeth</b:First>
          </b:Person>
        </b:NameList>
      </b:Author>
    </b:Author>
    <b:RefOrder>9</b:RefOrder>
  </b:Source>
  <b:Source>
    <b:Tag>Tal14</b:Tag>
    <b:SourceType>JournalArticle</b:SourceType>
    <b:Guid>{FAC59CA7-9703-4A3F-9A11-45ED997F10D6}</b:Guid>
    <b:Title>"Sankofa" Teaching and Learning: Evaluating Relevance for Today's African-American Student</b:Title>
    <b:JournalName>Journal of Instructional Pedagogies</b:JournalName>
    <b:Year>2014</b:Year>
    <b:Pages>15</b:Pages>
    <b:Author>
      <b:Author>
        <b:NameList>
          <b:Person>
            <b:Last>Talpade</b:Last>
            <b:First>Medha</b:First>
          </b:Person>
          <b:Person>
            <b:Last>Talpade</b:Last>
            <b:First>Salil</b:First>
          </b:Person>
        </b:NameList>
      </b:Author>
    </b:Author>
    <b:RefOrder>10</b:RefOrder>
  </b:Source>
  <b:Source>
    <b:Tag>Whi18</b:Tag>
    <b:SourceType>JournalArticle</b:SourceType>
    <b:Guid>{B5CBBBE4-3EDB-4C15-84F3-947FA9B4525B}</b:Guid>
    <b:Title>Son of the Sixties: The Controversial Image of Bill Clinton</b:Title>
    <b:JournalName>History</b:JournalName>
    <b:Year>2018</b:Year>
    <b:Pages>100-123</b:Pages>
    <b:Author>
      <b:Author>
        <b:NameList>
          <b:Person>
            <b:Last>White</b:Last>
            <b:First>Mark</b:First>
          </b:Person>
        </b:NameList>
      </b:Author>
    </b:Author>
    <b:Volume>103</b:Volume>
    <b:Issue>354</b:Issue>
    <b:RefOrder>11</b:RefOrder>
  </b:Source>
</b:Sources>
</file>

<file path=customXml/itemProps1.xml><?xml version="1.0" encoding="utf-8"?>
<ds:datastoreItem xmlns:ds="http://schemas.openxmlformats.org/officeDocument/2006/customXml" ds:itemID="{90B8B6B7-7B57-4F96-9B6C-110365E8F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1829</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2019-04-03T04:55:00Z</dcterms:created>
  <dcterms:modified xsi:type="dcterms:W3CDTF">2019-04-03T04:55:00Z</dcterms:modified>
</cp:coreProperties>
</file>